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ЗАКЛЮЧЕНИЕ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РЕВИЗИОННОЙ КОМИССИИ ТСЖ «Простор-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»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По результатам проверки годовой бухгалтерско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финансовой) отчетности, договоров на обслуживание и подряда за 2022 год.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Колпино                                                                                                 27 марта 2023г.     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В проверяемом периоде обязанности Председателя правления исполняла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- с 25.12.2019 по настоящее время Антонова Н.В. (Протокол № 6 заседания правления от 25.12.2019, зарегистрирована в МИФНС № 15 14.01.2020Г.)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</w:t>
      </w:r>
      <w:r w:rsidRPr="002A38F9">
        <w:rPr>
          <w:rFonts w:ascii="Times New Roman" w:hAnsi="Times New Roman" w:cs="Times New Roman"/>
          <w:sz w:val="24"/>
          <w:szCs w:val="24"/>
        </w:rPr>
        <w:tab/>
        <w:t>Члены правления: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с 01.11.2021 по настоящее время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Антонова Н.В., Косолап А.А., Новиков А.В., Салтыкова Е.Л., Сергиенко Н.А., Ткач Л.В., 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Аброськина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Стадникова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С 01.01.2022 по 31.12.2022 исполняли обязанности: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управляющего Иванова Т.И.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главного бухгалтера исполняла Притыка М.Л.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Ревизионная комиссия товарищества собственников жилья «Простор-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далее-ТСЖ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>),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руководствуясь Жилищным кодексом РФ и Уставом ТСЖ, провела ревизию финансово-хозяйственной деятельности ТСЖ с целью объективной независимой проверки, оценки деятельности правления, выдачи заключения об исполнении сметы доходов и расходов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ТСЖ за 2022 год.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На проверку ревизионной комиссии были представлены следующие оригиналы документов: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 xml:space="preserve">  - Устав ТСЖ;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 Протоколы общих собраний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-Протоколы заседаний Правления товарищества за проверяемый период;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1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-Папка по переписке с организациями;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1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-Договоры  с поставщиками и подрядчиками;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1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-Штатное расписание;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1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 Действующие тарифы;</w:t>
      </w:r>
    </w:p>
    <w:p w:rsidR="002A38F9" w:rsidRPr="002A38F9" w:rsidRDefault="002A38F9" w:rsidP="002A38F9">
      <w:pPr>
        <w:autoSpaceDE w:val="0"/>
        <w:autoSpaceDN w:val="0"/>
        <w:adjustRightInd w:val="0"/>
        <w:spacing w:after="120" w:line="1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-Трудовые договоры;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-Приказы;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-Нормативные документы по начислению квартплате;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A38F9">
        <w:rPr>
          <w:rFonts w:ascii="Times New Roman" w:hAnsi="Times New Roman" w:cs="Times New Roman"/>
          <w:sz w:val="24"/>
          <w:szCs w:val="24"/>
          <w:highlight w:val="white"/>
        </w:rPr>
        <w:t>-Положение об учетной политике;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Табели учета рабочего времени;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ведомости по начислению заработной платы,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авансовые отчеты с приложениями;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акты выполненных работ, сметы на выполнение работ;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 банковские выписки и платежные документы по расчетным счетам ТСЖ;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бухгалтерская и налоговая отчетность;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информация по должникам ТСЖ.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Заключение по результатам проверки годовой бухгалтерско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финансовой) отчетности ТСЖ: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Финансово-хозяйственная деятельность ТСЖ осуществляется на основании Жилищного кодекса РФ, Устава и сметы доходов и расходов, утвержденной на общем собрании членов ТСЖ.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8F9">
        <w:rPr>
          <w:rFonts w:ascii="Times New Roman" w:hAnsi="Times New Roman" w:cs="Times New Roman"/>
          <w:sz w:val="24"/>
          <w:szCs w:val="24"/>
        </w:rPr>
        <w:t xml:space="preserve">В течение 2022 года финансовая деятельность товарищества производилась в рамках Основной хозяйственной 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деятельности-управление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 xml:space="preserve"> многоквартирным домом с применением процедур управление финансами, поступивших от собственников квартир (плата за текущее содержание и ремонт), а также в виде иных платежей (платежи от аренды)</w:t>
      </w:r>
      <w:proofErr w:type="gramEnd"/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lastRenderedPageBreak/>
        <w:t>Ревизионной комиссией при проведении сплошной проверки, проверены все операции по поступлению и расходованию денежных средств ТСЖ а также все документы, обосновывающие данные операции. (фин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тчет прилагается)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В 2022 году ТСЖ располагало следующими финансовыми средствами: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остаток денежных средств на расчетном счете ТСЖ в банке «Открытие» по состоянию на 01.01.2022 г.- 795367,15  (см. счет 51)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оплат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поступления от жильцов ) на содержание и текущей ремонт общего имущества в многоквартирном доме 7147886,09 руб.  + оплата за коммунальные услуги 2239029,03 руб. Всего 9386915,12 руб.,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 xml:space="preserve"> доходы за 2022 год  168669,48 руб. в т.ч.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           101400,00 руб. аренда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           67269,48 руб. проценты банка к получению.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8F9">
        <w:rPr>
          <w:rFonts w:ascii="Times New Roman" w:hAnsi="Times New Roman" w:cs="Times New Roman"/>
          <w:sz w:val="24"/>
          <w:szCs w:val="24"/>
        </w:rPr>
        <w:t>Внереализационные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 xml:space="preserve"> доходы учитываются на счете 84.01 «Прочие доходы и расходы».  Использование полученного дохода возможно по решению собрания правления ТСЖ для достижения целей, для которых создано товарищество.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              За 2022 год ТСЖ понесло расходов на содержание и текущий ремонт общего имущества, на оплату коммунальных платежей, а также расходы по ремонту инженерных систем  на общую сумму    8816256,26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из них  803028,00- 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 xml:space="preserve"> связанные с капремонтом.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Остаток денежных средств на расчетном счете на 31.12.2022 г.-  1550729,27 руб.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              Сплошной проверке были подвергнуты банковские документы, авансовые отчеты, акты выполненных работ и оказанных услуг, накладные, договора, приказы, табели учета рабочего времени работников.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В результате проверки не выявлено нарушений при расходовании денежных средств ТСЖ. Сомнительных или необоснованных платежей не установлено.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Все решения в расходной части бюджета ТСЖ принимает правление коллегиально, планирует расходы с учетом сравнительного анализа уровня цен на рынке на требующиеся услуги и материалы. Это позволило в 2022 году заметно снизить расходы и максимально эффективно использовать имеющиеся в распоряжении ТСЖ финансы.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Ведение документооборота, в том числе первичных бухгалтерских (финансовых) документов, осуществляется на должном уровне,  вся документация подшита в отдельные папки, которые подписаны и хранятся в надлежащем порядке.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Бухгалтерская и налоговая отчетность содержит в себе достоверную информацию, сдается в контролирующие органы в установленные сроки.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Нарушений в ведении бухгалтерского и налогового учета не установлено.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Заключение по проверке сметы доходов и расходов на 2022 год и размерах обязательных платежей и взносов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Ревизионная комиссия проверила размеры 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платежей, применяемых в 2022 году при начислении жильцам ежемесячных платежей в ТСЖ и пришла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 xml:space="preserve"> к следующим выводам: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- размер платы за жилое помещение по установленным городским тарифам (повышающий коэффициент отсутствуют) позволил обеспечить техническое обслуживание и ремонт внутридомовых сетей на должном уровне,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lastRenderedPageBreak/>
        <w:t>- все платежи от ТСЖ в пользу контрагентов носили строго целевой характер,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- расходование денежных средств осуществлялось в соответствии со сметой. Тем не менее, следует пересмотреть структуру статей расходов, так как практически все отклонения связаны с погашением кредиторской задолженности 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 xml:space="preserve"> предыдущие года.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Нарушений по расходованию денежных средств ТСЖ «Простор-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» не установлено.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Ревизионной комиссией дана высокая оценка деятельности правления ТСЖ, направленная на проведение мероприятий по взысканию задолженности с неплательщиков.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В адрес должников 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69-ть квартир) ежемесячно направляются уведомления, предписания, предложения о досудебном урегулировании по ликвидации сумм задолженности, а также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ведется судебная работа.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Ревизионной комиссии предоставлены решения судов в пользу ТСЖ о взыскании задолженности с неплательщиков –(27-мь квартир), из них основные должники-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8F9">
        <w:rPr>
          <w:rFonts w:ascii="Times New Roman" w:hAnsi="Times New Roman" w:cs="Times New Roman"/>
          <w:sz w:val="24"/>
          <w:szCs w:val="24"/>
        </w:rPr>
        <w:t>кв. №40- с долгом 663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323,73,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кв. №41-                 70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38F9">
        <w:rPr>
          <w:rFonts w:ascii="Times New Roman" w:hAnsi="Times New Roman" w:cs="Times New Roman"/>
          <w:sz w:val="24"/>
          <w:szCs w:val="24"/>
        </w:rPr>
        <w:t>295,71,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кв. №305-               242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38F9">
        <w:rPr>
          <w:rFonts w:ascii="Times New Roman" w:hAnsi="Times New Roman" w:cs="Times New Roman"/>
          <w:sz w:val="24"/>
          <w:szCs w:val="24"/>
        </w:rPr>
        <w:t>614,52,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 w:hanging="240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кв. №320-               106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38F9">
        <w:rPr>
          <w:rFonts w:ascii="Times New Roman" w:hAnsi="Times New Roman" w:cs="Times New Roman"/>
          <w:sz w:val="24"/>
          <w:szCs w:val="24"/>
        </w:rPr>
        <w:t>662,88.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Общая сумма задолженности всех жильцов дома за 2022 год уменьшилась на 754 205,67 руб. и составляет на 31.12.2022 – 1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38F9">
        <w:rPr>
          <w:rFonts w:ascii="Times New Roman" w:hAnsi="Times New Roman" w:cs="Times New Roman"/>
          <w:sz w:val="24"/>
          <w:szCs w:val="24"/>
        </w:rPr>
        <w:t xml:space="preserve">722 666,29               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По состоянию на 31.12.2022 г. кредиторская задолженность перед поставщиками составляет 278</w:t>
      </w:r>
      <w:r w:rsidRPr="002A38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38F9">
        <w:rPr>
          <w:rFonts w:ascii="Times New Roman" w:hAnsi="Times New Roman" w:cs="Times New Roman"/>
          <w:sz w:val="24"/>
          <w:szCs w:val="24"/>
        </w:rPr>
        <w:t>100,30 руб. Просроченной задолженности нет. Задолженность состоит из текущих начислений за декабрь 2022 г., срок оплаты по которым по состоянию на 01.01.2023 не наступил.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679"/>
        <w:gridCol w:w="4099"/>
        <w:gridCol w:w="1702"/>
      </w:tblGrid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задолженность на 01.01.2023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proofErr w:type="gram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етербургская сбытовая компания"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57 689,59</w:t>
            </w:r>
          </w:p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proofErr w:type="spell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телетрансляция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35 455,00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АО "СТАНЦИЯ ПРОФИЛАКТИЧЕСКОЙ ДЕЗИНФЕКЦИИ"</w:t>
            </w:r>
          </w:p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1 638,76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spellStart"/>
            <w:proofErr w:type="gramEnd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Мегахит-ТО</w:t>
            </w:r>
            <w:proofErr w:type="spellEnd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обслуживание узлов учета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9 000,00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ТИС Лифт"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обслуживание лифтов, обслуживание ОДС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41 526,58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шлагбаум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2 000,00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Миродом</w:t>
            </w:r>
            <w:proofErr w:type="spellEnd"/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5 641,45</w:t>
            </w:r>
          </w:p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УК Ижора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многоквартирного дома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125 148,92</w:t>
            </w:r>
          </w:p>
        </w:tc>
      </w:tr>
      <w:tr w:rsidR="002A38F9" w:rsidRPr="002A38F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67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</w:rPr>
              <w:t>Всего задолженность перед поставщиками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A38F9" w:rsidRPr="002A38F9" w:rsidRDefault="002A38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A3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278 100,30</w:t>
            </w:r>
          </w:p>
        </w:tc>
      </w:tr>
    </w:tbl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Рекомендации ревизионной комиссии: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lastRenderedPageBreak/>
        <w:t xml:space="preserve"> Тщательно проанализировать статьи расходов исходя из фактического состояния дома и потребностей в ремонте, подходить к разработке сметы на следующий год с учётом непредвиденных ситуаций, повышения Федерального и Регионального МРОТ,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а также учитывать Региональный коэффициент инфляции.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Включить в расходную часть сметы на 2023 год расходы по механизированной уборке придомовой территории (7 084 м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) в зимний и летний периоды.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>Ревизионная комиссия рекомендует общему собранию членов ТСЖ «Простор-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 xml:space="preserve">» принять предложения правления ТСЖ по изменению формирования фонда Капитального ремонта и перехода с регионального оператора НО «Фонд капитального ремонта общего имущества и многоквартирных домов» на </w:t>
      </w:r>
      <w:proofErr w:type="spellStart"/>
      <w:r w:rsidRPr="002A38F9">
        <w:rPr>
          <w:rFonts w:ascii="Times New Roman" w:hAnsi="Times New Roman" w:cs="Times New Roman"/>
          <w:sz w:val="24"/>
          <w:szCs w:val="24"/>
        </w:rPr>
        <w:t>спецсчет</w:t>
      </w:r>
      <w:proofErr w:type="spellEnd"/>
      <w:r w:rsidRPr="002A38F9">
        <w:rPr>
          <w:rFonts w:ascii="Times New Roman" w:hAnsi="Times New Roman" w:cs="Times New Roman"/>
          <w:sz w:val="24"/>
          <w:szCs w:val="24"/>
        </w:rPr>
        <w:t>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Вывод: Основная задача правления ТСЖ 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беспечение надлежащего содержания и текущего ремонта общего имущества многоквартирного дома в 2022 году — выполнена.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Финансово-хозяйственную деятельность ТСЖ «Простор-</w:t>
      </w:r>
      <w:proofErr w:type="gramStart"/>
      <w:r w:rsidRPr="002A38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A38F9">
        <w:rPr>
          <w:rFonts w:ascii="Times New Roman" w:hAnsi="Times New Roman" w:cs="Times New Roman"/>
          <w:sz w:val="24"/>
          <w:szCs w:val="24"/>
        </w:rPr>
        <w:t>»  за проверяемый период признать удовлетворительной.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ab/>
        <w:t>Член ревизионной комиссии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 Иванова Н.А.  </w:t>
      </w:r>
    </w:p>
    <w:p w:rsidR="002A38F9" w:rsidRPr="002A38F9" w:rsidRDefault="002A38F9" w:rsidP="002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5D51" w:rsidRPr="002A38F9" w:rsidRDefault="002A38F9">
      <w:pPr>
        <w:rPr>
          <w:rFonts w:ascii="Times New Roman" w:hAnsi="Times New Roman" w:cs="Times New Roman"/>
        </w:rPr>
      </w:pPr>
    </w:p>
    <w:sectPr w:rsidR="009F5D51" w:rsidRPr="002A38F9" w:rsidSect="002A38F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8F9"/>
    <w:rsid w:val="002A38F9"/>
    <w:rsid w:val="005F09E8"/>
    <w:rsid w:val="00900C52"/>
    <w:rsid w:val="0095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2023-05-10T11:37:00Z</dcterms:created>
  <dcterms:modified xsi:type="dcterms:W3CDTF">2023-05-10T11:38:00Z</dcterms:modified>
</cp:coreProperties>
</file>